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pStyle w:val="Tdamdentgauche0"/>
              <w:widowControl/>
            </w:pPr>
            <w:bookmarkStart w:id="0" w:name="_GoBack"/>
            <w:bookmarkEnd w:id="0"/>
            <w:r>
              <w:t>APRÈS ART. 7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pStyle w:val="Tdamdentdroite0"/>
              <w:widowControl/>
              <w:jc w:val="right"/>
            </w:pPr>
            <w:r>
              <w:t>N° 11</w:t>
            </w:r>
          </w:p>
        </w:tc>
      </w:tr>
    </w:tbl>
    <w:p w:rsidR="00A77B3E" w:rsidRDefault="000E7D0A">
      <w:pPr>
        <w:pStyle w:val="Divtitre"/>
        <w:widowControl/>
        <w:jc w:val="center"/>
      </w:pPr>
      <w:r>
        <w:t>ASSEMBLÉE NATIONALE</w:t>
      </w:r>
    </w:p>
    <w:p w:rsidR="00000000" w:rsidRDefault="000E7D0A">
      <w:pPr>
        <w:pStyle w:val="Divdateamend"/>
        <w:widowControl/>
        <w:jc w:val="center"/>
      </w:pPr>
      <w:r>
        <w:t xml:space="preserve">3 octobre 2019 </w:t>
      </w:r>
    </w:p>
    <w:p w:rsidR="00000000" w:rsidRDefault="000E7D0A">
      <w:pPr>
        <w:widowControl/>
      </w:pPr>
      <w:r>
        <w:pict>
          <v:rect id="_x0000_i1027" style="width:481.9pt;height:1.5pt" o:hralign="center" o:hrstd="t" o:hr="t" fillcolor="gray" stroked="f">
            <v:path strokeok="f"/>
          </v:rect>
        </w:pict>
      </w:r>
    </w:p>
    <w:p w:rsidR="00000000" w:rsidRDefault="000E7D0A">
      <w:pPr>
        <w:pStyle w:val="titreinitiative"/>
        <w:widowControl/>
        <w:spacing w:after="280" w:afterAutospacing="1"/>
        <w:jc w:val="center"/>
      </w:pPr>
      <w:r>
        <w:t xml:space="preserve">VIOLENCES FAITES AUX FEMMES - (N° 2283)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cantSplit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30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0"/>
              <w:gridCol w:w="1350"/>
            </w:tblGrid>
            <w:tr w:rsidR="00000000">
              <w:trPr>
                <w:cantSplit/>
                <w:trHeight w:val="450"/>
              </w:trPr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00000" w:rsidRDefault="000E7D0A">
                  <w:pPr>
                    <w:keepNext/>
                    <w:widowControl/>
                    <w:jc w:val="center"/>
                  </w:pPr>
                  <w:r>
                    <w:rPr>
                      <w:rStyle w:val="FontamdtTableauCommission"/>
                    </w:rPr>
                    <w:t>Commission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00000" w:rsidRDefault="000E7D0A">
                  <w:pPr>
                    <w:keepNext/>
                    <w:widowControl/>
                  </w:pPr>
                  <w:r>
                    <w:t> </w:t>
                  </w:r>
                </w:p>
              </w:tc>
            </w:tr>
            <w:tr w:rsidR="00000000">
              <w:trPr>
                <w:cantSplit/>
                <w:trHeight w:val="450"/>
              </w:trPr>
              <w:tc>
                <w:tcPr>
                  <w:tcW w:w="16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000000" w:rsidRDefault="000E7D0A">
                  <w:pPr>
                    <w:widowControl/>
                    <w:jc w:val="center"/>
                  </w:pPr>
                  <w:r>
                    <w:rPr>
                      <w:rStyle w:val="FontamdtTableauCommission"/>
                    </w:rPr>
                    <w:t>Gouvernement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000000" w:rsidRDefault="000E7D0A">
                  <w:pPr>
                    <w:widowControl/>
                  </w:pPr>
                  <w:r>
                    <w:t> </w:t>
                  </w:r>
                </w:p>
              </w:tc>
            </w:tr>
          </w:tbl>
          <w:p w:rsidR="00000000" w:rsidRDefault="000E7D0A">
            <w:pPr>
              <w:widowControl/>
            </w:pPr>
          </w:p>
        </w:tc>
      </w:tr>
    </w:tbl>
    <w:p w:rsidR="00000000" w:rsidRDefault="000E7D0A">
      <w:pPr>
        <w:widowControl/>
      </w:pPr>
      <w:r>
        <w:t>Adopté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4819"/>
        <w:gridCol w:w="2410"/>
      </w:tblGrid>
      <w:tr w:rsidR="00000000">
        <w:trPr>
          <w:cantSplit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widowControl/>
              <w:rPr>
                <w:b/>
                <w:bCs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pStyle w:val="Tdtitreamend1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AMENDEMENT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pStyle w:val="Tdamdentdroite0"/>
              <w:widowControl/>
              <w:jc w:val="right"/>
            </w:pPr>
            <w:r>
              <w:t xml:space="preserve">N </w:t>
            </w:r>
            <w:r>
              <w:rPr>
                <w:vertAlign w:val="superscript"/>
              </w:rPr>
              <w:t>o</w:t>
            </w:r>
            <w:r>
              <w:t> 11</w:t>
            </w:r>
          </w:p>
        </w:tc>
      </w:tr>
    </w:tbl>
    <w:p w:rsidR="00000000" w:rsidRDefault="000E7D0A">
      <w:pPr>
        <w:widowControl/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pStyle w:val="Tdpresentepar"/>
              <w:keepNext/>
              <w:widowControl/>
              <w:jc w:val="center"/>
            </w:pPr>
            <w:r>
              <w:t>présenté par</w:t>
            </w:r>
          </w:p>
        </w:tc>
      </w:tr>
      <w:tr w:rsidR="00000000">
        <w:trPr>
          <w:cantSplit/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E7D0A">
            <w:pPr>
              <w:widowControl/>
              <w:jc w:val="center"/>
            </w:pPr>
            <w:r>
              <w:t>M. Descoeur, M. Cattin, M. Straumann, M. Ramadier, M. Hetzel, M. Bony, M. Saddier, Mme </w:t>
            </w:r>
            <w:r>
              <w:t>Bassire, M. Brun, M. Viala, Mme Bazin-Malgras, Mme Anthoine, Mme Lacroute, M. Abad, M. Forissier, M. Bazin, Mme Corneloup, M. Grelier, M. Bouchet, M. Menuel, M. Sermier, Mme Bonnivard, Mme Le Grip, M. Reiss et Mme Valentin</w:t>
            </w:r>
          </w:p>
        </w:tc>
      </w:tr>
    </w:tbl>
    <w:p w:rsidR="00000000" w:rsidRDefault="000E7D0A">
      <w:pPr>
        <w:widowControl/>
        <w:spacing w:after="280" w:afterAutospacing="1"/>
        <w:jc w:val="center"/>
      </w:pPr>
      <w:r>
        <w:t>----------</w:t>
      </w:r>
    </w:p>
    <w:p w:rsidR="00000000" w:rsidRDefault="000E7D0A">
      <w:pPr>
        <w:pStyle w:val="amddispotitre"/>
        <w:widowControl/>
        <w:spacing w:after="280" w:afterAutospacing="1"/>
        <w:jc w:val="center"/>
      </w:pPr>
      <w:r>
        <w:t xml:space="preserve">ARTICLE ADDITIONNEL </w:t>
      </w:r>
    </w:p>
    <w:p w:rsidR="00000000" w:rsidRDefault="000E7D0A">
      <w:pPr>
        <w:pStyle w:val="amddispotitre"/>
        <w:keepNext/>
        <w:widowControl/>
        <w:spacing w:after="280" w:afterAutospacing="1"/>
        <w:jc w:val="center"/>
      </w:pPr>
      <w:r>
        <w:t>APRÈS L'ARTICLE 7, insérer l'article suivant:</w:t>
      </w:r>
    </w:p>
    <w:p w:rsidR="00000000" w:rsidRDefault="000E7D0A">
      <w:pPr>
        <w:widowControl/>
        <w:spacing w:after="280" w:afterAutospacing="1"/>
        <w:jc w:val="both"/>
      </w:pPr>
      <w:r>
        <w:t>La préfecture doit pouvoir procéder à l</w:t>
      </w:r>
      <w:r>
        <w:t>’</w:t>
      </w:r>
      <w:r>
        <w:t>attribution en urgence d</w:t>
      </w:r>
      <w:r>
        <w:t>’</w:t>
      </w:r>
      <w:r>
        <w:t>un logement de droit commun aux femmes victimes de violences, lorsque cela est attesté par une décision judiciaire, sur le contingent de logement</w:t>
      </w:r>
      <w:r>
        <w:t>s réservés de l</w:t>
      </w:r>
      <w:r>
        <w:t>’</w:t>
      </w:r>
      <w:r>
        <w:t>État.</w:t>
      </w:r>
    </w:p>
    <w:p w:rsidR="00000000" w:rsidRDefault="000E7D0A">
      <w:pPr>
        <w:pStyle w:val="amdexpotitre"/>
        <w:keepNext/>
        <w:widowControl/>
        <w:spacing w:after="280" w:afterAutospacing="1"/>
        <w:jc w:val="center"/>
      </w:pPr>
      <w:r>
        <w:t>EXPOSÉ SOMMAIRE</w:t>
      </w:r>
    </w:p>
    <w:p w:rsidR="000E7D0A" w:rsidRDefault="000E7D0A">
      <w:pPr>
        <w:pStyle w:val="amdexpotexte"/>
        <w:widowControl/>
        <w:spacing w:after="280" w:afterAutospacing="1"/>
        <w:jc w:val="both"/>
      </w:pPr>
      <w:r>
        <w:t>Comme le stipule la circulaire du 8 mars 2017 relative à l</w:t>
      </w:r>
      <w:r>
        <w:t>’</w:t>
      </w:r>
      <w:r>
        <w:t>accès au logement des femmes victimes de violences ou en grande difficulté, il est de première importance que la situation particulières des femmes ou des jeun</w:t>
      </w:r>
      <w:r>
        <w:t>es filles victimes de violences, qui ont dû quitter subitement dans des circonstances souvent dramatiques le domicile commun, soient mieux prises en compte. Or, aujourd</w:t>
      </w:r>
      <w:r>
        <w:t>’</w:t>
      </w:r>
      <w:r>
        <w:t>hui, ces femmes victimes de violences au sein de leur couple, forcées de quitter leur l</w:t>
      </w:r>
      <w:r>
        <w:t>ogement après des menaces de violence ou des violences effectivement subies se voient proposer des solutions transitoires d</w:t>
      </w:r>
      <w:r>
        <w:t>’</w:t>
      </w:r>
      <w:r>
        <w:t>hébergement, dans des centres qui n</w:t>
      </w:r>
      <w:r>
        <w:t>’</w:t>
      </w:r>
      <w:r>
        <w:t>ont pas pour vocation première à les accueillir. C</w:t>
      </w:r>
      <w:r>
        <w:t>’</w:t>
      </w:r>
      <w:r>
        <w:t>est pourquoi, il est proposé à travers cet am</w:t>
      </w:r>
      <w:r>
        <w:t>endement d</w:t>
      </w:r>
      <w:r>
        <w:t>’</w:t>
      </w:r>
      <w:r>
        <w:t>améliorer le dispositif du logement d</w:t>
      </w:r>
      <w:r>
        <w:t>’</w:t>
      </w:r>
      <w:r>
        <w:t>urgence en demandant aux Préfectures d</w:t>
      </w:r>
      <w:r>
        <w:t>’</w:t>
      </w:r>
      <w:r>
        <w:t>identifier des logements d</w:t>
      </w:r>
      <w:r>
        <w:t>’</w:t>
      </w:r>
      <w:r>
        <w:t>urgence pérennes susceptibles d</w:t>
      </w:r>
      <w:r>
        <w:t>’</w:t>
      </w:r>
      <w:r>
        <w:t>accueillir les femmes battues manifestement en danger, en attente d</w:t>
      </w:r>
      <w:r>
        <w:t>’</w:t>
      </w:r>
      <w:r>
        <w:t xml:space="preserve">un nouveau logement afin de les protéger </w:t>
      </w:r>
      <w:r>
        <w:t>dans l</w:t>
      </w:r>
      <w:r>
        <w:t>’</w:t>
      </w:r>
      <w:r>
        <w:t>urgence et de leur permettre de retrouver une certaine autonomie, nécessaire aux personnes et aux familles qui doivent se reconstruire.</w:t>
      </w:r>
    </w:p>
    <w:sectPr w:rsidR="000E7D0A">
      <w:headerReference w:type="default" r:id="rId6"/>
      <w:footerReference w:type="default" r:id="rId7"/>
      <w:footerReference w:type="first" r:id="rId8"/>
      <w:pgSz w:w="11906" w:h="16838"/>
      <w:pgMar w:top="1134" w:right="1134" w:bottom="1701" w:left="1134" w:header="567" w:footer="567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0A" w:rsidRDefault="000E7D0A">
      <w:r>
        <w:separator/>
      </w:r>
    </w:p>
  </w:endnote>
  <w:endnote w:type="continuationSeparator" w:id="0">
    <w:p w:rsidR="000E7D0A" w:rsidRDefault="000E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850"/>
    </w:tblGrid>
    <w:tr w:rsidR="00000000">
      <w:trPr>
        <w:jc w:val="right"/>
      </w:trPr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:rsidR="00000000" w:rsidRDefault="000E7D0A">
          <w:pPr>
            <w:widowControl/>
          </w:pPr>
          <w:r>
            <w:fldChar w:fldCharType="begin"/>
          </w:r>
          <w:r>
            <w:instrText>PAGE</w:instrText>
          </w:r>
          <w:r>
            <w:fldChar w:fldCharType="end"/>
          </w:r>
          <w:r>
            <w:t>/</w:t>
          </w:r>
          <w:r>
            <w:fldChar w:fldCharType="begin"/>
          </w:r>
          <w:r>
            <w:instrText>SECTIONPAGES</w:instrText>
          </w:r>
          <w:r>
            <w:fldChar w:fldCharType="end"/>
          </w:r>
        </w:p>
      </w:tc>
    </w:tr>
  </w:tbl>
  <w:p w:rsidR="00000000" w:rsidRDefault="000E7D0A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850"/>
    </w:tblGrid>
    <w:tr w:rsidR="00000000">
      <w:trPr>
        <w:jc w:val="right"/>
      </w:trPr>
      <w:tc>
        <w:tcPr>
          <w:tcW w:w="850" w:type="dxa"/>
          <w:tcBorders>
            <w:top w:val="nil"/>
            <w:left w:val="nil"/>
            <w:bottom w:val="nil"/>
            <w:right w:val="nil"/>
          </w:tcBorders>
        </w:tcPr>
        <w:p w:rsidR="00000000" w:rsidRDefault="000E7D0A">
          <w:pPr>
            <w:widowControl/>
          </w:pPr>
          <w:r>
            <w:fldChar w:fldCharType="begin"/>
          </w:r>
          <w:r>
            <w:instrText>PAGE</w:instrText>
          </w:r>
          <w:r w:rsidR="00AF37FB">
            <w:fldChar w:fldCharType="separate"/>
          </w:r>
          <w:r w:rsidR="00AF37FB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SECTIONPAGES</w:instrText>
          </w:r>
          <w:r w:rsidR="00AF37FB"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:rsidR="00000000" w:rsidRDefault="000E7D0A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0A" w:rsidRDefault="000E7D0A">
      <w:r>
        <w:separator/>
      </w:r>
    </w:p>
  </w:footnote>
  <w:footnote w:type="continuationSeparator" w:id="0">
    <w:p w:rsidR="000E7D0A" w:rsidRDefault="000E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15" w:type="dxa"/>
      <w:tblInd w:w="-45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6937"/>
      <w:gridCol w:w="2701"/>
    </w:tblGrid>
    <w:tr w:rsidR="00000000">
      <w:trPr>
        <w:tblCellSpacing w:w="15" w:type="dxa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E7D0A">
          <w:pPr>
            <w:pStyle w:val="Tdamdentgauche"/>
            <w:widowControl/>
          </w:pPr>
          <w:r>
            <w:t>APRÈS ART. 7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vAlign w:val="center"/>
        </w:tcPr>
        <w:p w:rsidR="00000000" w:rsidRDefault="000E7D0A">
          <w:pPr>
            <w:pStyle w:val="Tdamdentdroite"/>
            <w:widowControl/>
            <w:jc w:val="right"/>
          </w:pPr>
          <w:r>
            <w:t>N° 11</w:t>
          </w:r>
        </w:p>
      </w:tc>
    </w:tr>
  </w:tbl>
  <w:p w:rsidR="00000000" w:rsidRDefault="000E7D0A">
    <w:pPr>
      <w:widowControl/>
    </w:pPr>
    <w:r>
      <w:pict>
        <v:rect id="_x0000_i1026" style="width:6in;height:1.5pt" o:hralign="center" o:hrstd="t" o:hr="t" fillcolor="gray" stroked="f">
          <v:path strokeok="f"/>
        </v:rect>
      </w:pict>
    </w:r>
  </w:p>
  <w:p w:rsidR="00000000" w:rsidRDefault="000E7D0A">
    <w:pPr>
      <w:widowControl/>
      <w:spacing w:after="280" w:after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FB"/>
    <w:rsid w:val="000E7D0A"/>
    <w:rsid w:val="00A77B3E"/>
    <w:rsid w:val="00A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7749BC-63DA-406B-B8C7-2520E34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mdentgauche">
    <w:name w:val="amdentgauche"/>
    <w:basedOn w:val="Normal"/>
  </w:style>
  <w:style w:type="paragraph" w:customStyle="1" w:styleId="amdentdroite">
    <w:name w:val="amdentdroite"/>
    <w:basedOn w:val="Normal"/>
    <w:rPr>
      <w:b/>
      <w:bCs/>
    </w:rPr>
  </w:style>
  <w:style w:type="paragraph" w:customStyle="1" w:styleId="Tdamdentgauche">
    <w:name w:val="Td_amdentgauche"/>
    <w:basedOn w:val="Normal"/>
  </w:style>
  <w:style w:type="paragraph" w:customStyle="1" w:styleId="Tdamdentdroite">
    <w:name w:val="Td_amdentdroite"/>
    <w:basedOn w:val="Normal"/>
    <w:rPr>
      <w:b/>
      <w:bCs/>
    </w:rPr>
  </w:style>
  <w:style w:type="paragraph" w:customStyle="1" w:styleId="amdtRetire">
    <w:name w:val="amdtRetire"/>
    <w:basedOn w:val="Normal"/>
    <w:rPr>
      <w:b/>
      <w:bCs/>
    </w:rPr>
  </w:style>
  <w:style w:type="paragraph" w:customStyle="1" w:styleId="amdentgauche0">
    <w:name w:val="amdentgauche_0"/>
    <w:basedOn w:val="Normal"/>
  </w:style>
  <w:style w:type="paragraph" w:customStyle="1" w:styleId="styleObjetArgumentaire">
    <w:name w:val="styleObjetArgumentaire"/>
    <w:basedOn w:val="Normal"/>
    <w:pPr>
      <w:spacing w:before="200" w:after="200"/>
      <w:ind w:left="200" w:right="200"/>
    </w:pPr>
  </w:style>
  <w:style w:type="paragraph" w:customStyle="1" w:styleId="amdtCreditProgLibelle">
    <w:name w:val="amdtCreditProgLibelle"/>
    <w:basedOn w:val="Normal"/>
  </w:style>
  <w:style w:type="paragraph" w:customStyle="1" w:styleId="titre">
    <w:name w:val="titre"/>
    <w:basedOn w:val="Normal"/>
    <w:rPr>
      <w:b/>
      <w:bCs/>
      <w:sz w:val="36"/>
      <w:szCs w:val="36"/>
    </w:rPr>
  </w:style>
  <w:style w:type="paragraph" w:customStyle="1" w:styleId="amdtTableauCommission">
    <w:name w:val="amdtTableauCommission"/>
    <w:basedOn w:val="Normal"/>
  </w:style>
  <w:style w:type="paragraph" w:customStyle="1" w:styleId="titreamend1">
    <w:name w:val="titreamend1"/>
    <w:basedOn w:val="Normal"/>
    <w:pPr>
      <w:spacing w:before="150"/>
    </w:pPr>
    <w:rPr>
      <w:sz w:val="36"/>
      <w:szCs w:val="36"/>
    </w:rPr>
  </w:style>
  <w:style w:type="paragraph" w:customStyle="1" w:styleId="styleTextArgumentaire">
    <w:name w:val="styleTextArgumentaire"/>
    <w:basedOn w:val="Normal"/>
    <w:pPr>
      <w:spacing w:before="200" w:after="200"/>
      <w:ind w:left="200" w:right="200"/>
    </w:pPr>
    <w:rPr>
      <w:sz w:val="28"/>
      <w:szCs w:val="28"/>
    </w:rPr>
  </w:style>
  <w:style w:type="paragraph" w:customStyle="1" w:styleId="titreinitiative">
    <w:name w:val="titreinitiative"/>
    <w:basedOn w:val="Normal"/>
    <w:pPr>
      <w:spacing w:before="300"/>
    </w:pPr>
  </w:style>
  <w:style w:type="paragraph" w:customStyle="1" w:styleId="amddispotitre">
    <w:name w:val="amddispotitre"/>
    <w:basedOn w:val="Normal"/>
    <w:rPr>
      <w:b/>
      <w:bCs/>
    </w:rPr>
  </w:style>
  <w:style w:type="paragraph" w:customStyle="1" w:styleId="amdentdroite0">
    <w:name w:val="amdentdroite_0"/>
    <w:basedOn w:val="Normal"/>
    <w:rPr>
      <w:b/>
      <w:bCs/>
    </w:rPr>
  </w:style>
  <w:style w:type="paragraph" w:customStyle="1" w:styleId="amdtCreditProgMt">
    <w:name w:val="amdtCreditProgMt"/>
    <w:basedOn w:val="Normal"/>
    <w:pPr>
      <w:jc w:val="right"/>
    </w:pPr>
  </w:style>
  <w:style w:type="paragraph" w:customStyle="1" w:styleId="presentepar">
    <w:name w:val="presentepar"/>
    <w:basedOn w:val="Normal"/>
  </w:style>
  <w:style w:type="paragraph" w:customStyle="1" w:styleId="del">
    <w:name w:val="del"/>
    <w:basedOn w:val="Normal"/>
    <w:rPr>
      <w:strike/>
    </w:rPr>
  </w:style>
  <w:style w:type="paragraph" w:customStyle="1" w:styleId="titreamend">
    <w:name w:val="titreamend"/>
    <w:basedOn w:val="Normal"/>
    <w:pPr>
      <w:spacing w:before="150"/>
    </w:pPr>
  </w:style>
  <w:style w:type="paragraph" w:customStyle="1" w:styleId="stylePositionArgumentaire">
    <w:name w:val="stylePositionArgumentaire"/>
    <w:basedOn w:val="Normal"/>
    <w:pPr>
      <w:spacing w:before="150"/>
    </w:pPr>
  </w:style>
  <w:style w:type="paragraph" w:customStyle="1" w:styleId="wide">
    <w:name w:val="wide"/>
    <w:basedOn w:val="Normal"/>
  </w:style>
  <w:style w:type="paragraph" w:customStyle="1" w:styleId="ins">
    <w:name w:val="ins"/>
    <w:basedOn w:val="Normal"/>
    <w:rPr>
      <w:u w:val="single"/>
    </w:rPr>
  </w:style>
  <w:style w:type="paragraph" w:customStyle="1" w:styleId="cartoucheart99">
    <w:name w:val="cartoucheart99"/>
    <w:basedOn w:val="Normal"/>
    <w:pPr>
      <w:spacing w:after="75"/>
      <w:ind w:left="75"/>
    </w:pPr>
    <w:rPr>
      <w:b/>
      <w:bCs/>
      <w:i/>
      <w:iCs/>
      <w:sz w:val="22"/>
      <w:szCs w:val="22"/>
    </w:rPr>
  </w:style>
  <w:style w:type="paragraph" w:customStyle="1" w:styleId="amdtCreditLigneNouvelle">
    <w:name w:val="amdtCreditLigneNouvelle"/>
    <w:basedOn w:val="Normal"/>
    <w:rPr>
      <w:i/>
      <w:iCs/>
    </w:rPr>
  </w:style>
  <w:style w:type="paragraph" w:customStyle="1" w:styleId="amdtCreditLigneLibelle">
    <w:name w:val="amdtCreditLigneLibelle"/>
    <w:basedOn w:val="Normal"/>
    <w:rPr>
      <w:i/>
      <w:iCs/>
    </w:rPr>
  </w:style>
  <w:style w:type="paragraph" w:customStyle="1" w:styleId="colonneGras">
    <w:name w:val="colonneGras"/>
    <w:basedOn w:val="Normal"/>
    <w:rPr>
      <w:b/>
      <w:bCs/>
    </w:rPr>
  </w:style>
  <w:style w:type="paragraph" w:customStyle="1" w:styleId="amdexpotexte">
    <w:name w:val="amdexpotexte"/>
    <w:basedOn w:val="Normal"/>
  </w:style>
  <w:style w:type="paragraph" w:customStyle="1" w:styleId="amdtCreditLigneSupprimee">
    <w:name w:val="amdtCreditLigneSupprimee"/>
    <w:basedOn w:val="Normal"/>
    <w:rPr>
      <w:i/>
      <w:iCs/>
    </w:rPr>
  </w:style>
  <w:style w:type="paragraph" w:customStyle="1" w:styleId="amdtCreditEnEuro">
    <w:name w:val="amdtCreditEnEuro"/>
    <w:basedOn w:val="Normal"/>
    <w:pPr>
      <w:jc w:val="right"/>
    </w:pPr>
    <w:rPr>
      <w:i/>
      <w:iCs/>
    </w:rPr>
  </w:style>
  <w:style w:type="paragraph" w:customStyle="1" w:styleId="dateamend">
    <w:name w:val="dateamend"/>
    <w:basedOn w:val="Normal"/>
  </w:style>
  <w:style w:type="paragraph" w:customStyle="1" w:styleId="amdexpotitre">
    <w:name w:val="amdexpotitre"/>
    <w:basedOn w:val="Normal"/>
    <w:pPr>
      <w:spacing w:before="600"/>
    </w:pPr>
    <w:rPr>
      <w:b/>
      <w:bCs/>
    </w:rPr>
  </w:style>
  <w:style w:type="paragraph" w:customStyle="1" w:styleId="amdtCreditLigneMt">
    <w:name w:val="amdtCreditLigneMt"/>
    <w:basedOn w:val="Normal"/>
    <w:pPr>
      <w:jc w:val="right"/>
    </w:pPr>
    <w:rPr>
      <w:i/>
      <w:iCs/>
    </w:rPr>
  </w:style>
  <w:style w:type="paragraph" w:customStyle="1" w:styleId="stylePositionRapporteurArgumentaire">
    <w:name w:val="stylePositionRapporteurArgumentaire"/>
    <w:basedOn w:val="Normal"/>
    <w:pPr>
      <w:spacing w:after="150"/>
    </w:pPr>
    <w:rPr>
      <w:i/>
      <w:iCs/>
    </w:rPr>
  </w:style>
  <w:style w:type="paragraph" w:customStyle="1" w:styleId="amddispotexte">
    <w:name w:val="amddispotexte"/>
    <w:basedOn w:val="Normal"/>
  </w:style>
  <w:style w:type="paragraph" w:customStyle="1" w:styleId="columnRaye">
    <w:name w:val="columnRaye"/>
    <w:basedOn w:val="Normal"/>
    <w:rPr>
      <w:strike/>
    </w:rPr>
  </w:style>
  <w:style w:type="paragraph" w:customStyle="1" w:styleId="Tdamdentgauche0">
    <w:name w:val="Td_amdentgauche_0"/>
    <w:basedOn w:val="Normal"/>
  </w:style>
  <w:style w:type="paragraph" w:customStyle="1" w:styleId="Tdamdentdroite0">
    <w:name w:val="Td_amdentdroite_0"/>
    <w:basedOn w:val="Normal"/>
    <w:rPr>
      <w:b/>
      <w:bCs/>
    </w:rPr>
  </w:style>
  <w:style w:type="paragraph" w:customStyle="1" w:styleId="Divtitre">
    <w:name w:val="Div_titre"/>
    <w:basedOn w:val="Normal"/>
    <w:rPr>
      <w:b/>
      <w:bCs/>
      <w:sz w:val="36"/>
      <w:szCs w:val="36"/>
    </w:rPr>
  </w:style>
  <w:style w:type="paragraph" w:customStyle="1" w:styleId="Divdateamend">
    <w:name w:val="Div_dateamend"/>
    <w:basedOn w:val="Normal"/>
  </w:style>
  <w:style w:type="character" w:customStyle="1" w:styleId="FontamdtTableauCommission">
    <w:name w:val="Font_amdtTableauCommission"/>
    <w:basedOn w:val="Policepardfaut"/>
    <w:rPr>
      <w:rFonts w:ascii="Times New Roman" w:hAnsi="Times New Roman" w:cs="Times New Roman"/>
      <w:sz w:val="24"/>
      <w:szCs w:val="24"/>
    </w:rPr>
  </w:style>
  <w:style w:type="paragraph" w:customStyle="1" w:styleId="Tdtitreamend1">
    <w:name w:val="Td_titreamend1"/>
    <w:basedOn w:val="Normal"/>
    <w:pPr>
      <w:spacing w:before="150"/>
    </w:pPr>
    <w:rPr>
      <w:sz w:val="36"/>
      <w:szCs w:val="36"/>
    </w:rPr>
  </w:style>
  <w:style w:type="paragraph" w:customStyle="1" w:styleId="Tdpresentepar">
    <w:name w:val="Td_presentepar"/>
    <w:basedOn w:val="Normal"/>
  </w:style>
  <w:style w:type="paragraph" w:customStyle="1" w:styleId="Divamddispotexte">
    <w:name w:val="Div_amddispotexte"/>
    <w:basedOn w:val="Normal"/>
  </w:style>
  <w:style w:type="paragraph" w:customStyle="1" w:styleId="Divamdexpotexte">
    <w:name w:val="Div_amdexpotext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2</cp:revision>
  <dcterms:created xsi:type="dcterms:W3CDTF">2019-10-11T09:33:00Z</dcterms:created>
  <dcterms:modified xsi:type="dcterms:W3CDTF">2019-10-11T09:33:00Z</dcterms:modified>
</cp:coreProperties>
</file>